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96 vom 26. Juni 2018</w:t>
      </w:r>
    </w:p>
    <w:p>
      <w:r>
        <w:t>GR Gerichte, 2018-06-26, DE</w:t>
      </w:r>
    </w:p>
    <w:p>
      <w:r>
        <w:rPr>
          <w:b/>
        </w:rPr>
        <w:t xml:space="preserve">Quelle: </w:t>
      </w:r>
      <w:r>
        <w:t>https://mcp.opencaselaw.ch/entscheid/gr_gerichte_S 2017 96</w:t>
      </w:r>
    </w:p>
    <w:p>
      <w:r>
        <w:t>FR: GR_GERICHTE S 2017 96 du 26 juin 2018</w:t>
      </w:r>
    </w:p>
    <w:p>
      <w:r>
        <w:t>IT: GR_GERICHTE S 2017 96 del 26 giugno 2018</w:t>
      </w:r>
    </w:p>
    <w:p>
      <w:pPr>
        <w:pStyle w:val="Heading2"/>
      </w:pPr>
      <w:r>
        <w:t>Regeste</w:t>
      </w:r>
    </w:p>
    <w:p>
      <w:r>
        <w:t>IV-Rente | Invalidenversicherung</w:t>
      </w:r>
    </w:p>
    <w:p>
      <w:pPr>
        <w:pStyle w:val="Heading2"/>
      </w:pPr>
      <w:r>
        <w:t>Erwägungen</w:t>
      </w:r>
    </w:p>
    <w:p>
      <w:r>
        <w:rPr>
          <w:b/>
        </w:rPr>
        <w:t>E. 3</w:t>
      </w:r>
    </w:p>
    <w:p>
      <w:r>
        <w:t>Mit Stellungnahme vom 26. März 2018 führte die Beschwerdegegnerin aus, dass das Gutachten von Dr. med. E._____ vom 19. März 2018 die von ihr vertretene Auffassung bestätige, wonach der Beschwerdeführer weiterhin (wie bereits anlässlich der letzten rechtskräftigen, rentenableh- nenden Verfügung vom 21. März 2011) zu 70 % arbeitsfähig sei. Die an- gefochtene Verfügung vom 13. August 2015 erweise sich im Ergebnis somit als rechtens.</w:t>
      </w:r>
    </w:p>
    <w:p>
      <w:r>
        <w:rPr>
          <w:b/>
        </w:rPr>
        <w:t>E. 4</w:t>
      </w:r>
    </w:p>
    <w:p>
      <w:r>
        <w:t>Zu ermitteln ist noch, wer die Kosten des vom Gericht in Auftrag gegebe- nen Obergutachtens in der Höhe von Fr. 3'690.-- gemäss Rechnung vom 19. März 2018 zu tragen hat.</w:t>
      </w:r>
    </w:p>
    <w:p>
      <w:r>
        <w:rPr>
          <w:b/>
        </w:rPr>
        <w:t>E. 4.1</w:t>
      </w:r>
    </w:p>
    <w:p>
      <w:r>
        <w:t>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rPr>
          <w:b/>
        </w:rPr>
        <w:t>E. 4.2</w:t>
      </w:r>
    </w:p>
    <w:p>
      <w:r>
        <w:t>Im vom Bundesgericht aufgehobenen Urteil S 15 114 hatte das Verwal- tungsgericht aufgezeigt, warum nicht auf das (Teil-)Gutachten von pract. med. B._____ vom 7. August 2013, sondern auf die RAD-Abklärung von Dr. med. C._____ vom 19. Juni 2014 abzustellen war und dass letzteres vom Kurzbericht des behandelnden Psychiaters, Dr. med. D._____, vom 17. Dezember 2014 nicht erschüttert werde. Nach Auffassung des Bun-</w:t>
      </w:r>
    </w:p>
    <w:p>
      <w:r>
        <w:t>- 11 - desgerichts hatte das Verwaltungsgericht jedoch weitere Abklärungen zu treffen bzw. erforderlichenfalls ein psychiatrisches Gerichtsgutachten ein- zuholen, weshalb es die Sache an dieses zurückwies. Da Dr. med. C._____ das Teilgutachten von pract. med. B._____ in seiner Beurteilung miteinbezogen hatte, erachtete es das Gericht im Rahmen der Neubeur- teilung der Sache nicht als zielführend, Rückfragen an Dr. med. C._____ bezüglich der Einschätzung von pract. med. B._____ zu stellen. Ebenso hielt es das Gericht für unzweckmässig, dass sich Dr. med. C._____ über den Kurzbericht des behandelnden Psychiaters vom 17. Dezember 2014 äussere. Demzufolge zwang sich aus Sicht des Gerichts die Einholung eines Obergutachtens auf. Die Einholung eines Obergutachtens war da- her eine für die Beurteilung des Falles unerlässliche Handlung. Dies kann für das vorinstanzliche Verfahren mutatis mutandis jedoch nicht bejaht werden: Die Vorinstanz wäre angesichts des Berichts des behandelnden Psychiaters vom 17. Dezember 2014 allenfalls dazu angehalten gewesen, den RAD-Arzt, Dr. med. C._____, aufzufordern, bei diesem Auskünfte einzuholen. Von der Vorinstanz durfte aber nicht etwa verlangt werden, dass sie ein weiteres externes MEDAS-Gutachten anordnete, nachdem bereits ein MEDAS-Gutachten und eine dieses widersprechende RAD- Beurteilung vorlag. Die Kosten des Obergutachtens von Fr. 3'690.-- sind somit von der Gerichtskasse zu übernehmen.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